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481" w:tblpY="1914"/>
        <w:tblOverlap w:val="never"/>
        <w:tblW w:w="106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77"/>
        <w:gridCol w:w="5647"/>
        <w:gridCol w:w="732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物资名称</w:t>
            </w:r>
          </w:p>
        </w:tc>
        <w:tc>
          <w:tcPr>
            <w:tcW w:w="56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规格参数</w:t>
            </w: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数量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5" w:hRule="atLeast"/>
        </w:trPr>
        <w:tc>
          <w:tcPr>
            <w:tcW w:w="619" w:type="dxa"/>
            <w:vAlign w:val="top"/>
          </w:tcPr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4" w:lineRule="auto"/>
              <w:ind w:left="36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top"/>
          </w:tcPr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237" w:lineRule="auto"/>
              <w:ind w:left="140" w:righ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上床下桌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橡</w:t>
            </w:r>
            <w:r>
              <w:rPr>
                <w:rFonts w:hint="eastAsia" w:ascii="宋体" w:hAnsi="宋体" w:eastAsia="宋体" w:cs="宋体"/>
                <w:spacing w:val="32"/>
                <w:w w:val="130"/>
                <w:sz w:val="22"/>
                <w:szCs w:val="22"/>
              </w:rPr>
              <w:t>胶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  <w:t>木</w:t>
            </w:r>
            <w:r>
              <w:rPr>
                <w:rFonts w:hint="eastAsia"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  <w:t>)</w:t>
            </w:r>
          </w:p>
        </w:tc>
        <w:tc>
          <w:tcPr>
            <w:tcW w:w="5647" w:type="dxa"/>
            <w:vAlign w:val="top"/>
          </w:tcPr>
          <w:p>
            <w:pPr>
              <w:spacing w:before="30" w:line="21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公寓床：</w:t>
            </w:r>
          </w:p>
          <w:p>
            <w:pPr>
              <w:spacing w:before="46" w:line="217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1、床架规格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eastAsia="zh-Hans"/>
              </w:rPr>
              <w:t>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2000mm×900mm×高19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mm</w:t>
            </w:r>
          </w:p>
          <w:p>
            <w:pPr>
              <w:spacing w:line="233" w:lineRule="auto"/>
              <w:ind w:left="72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2、床头立柱：40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×40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×1.5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优质方钢管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，床头横撑25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×25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×1.2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,竖撑3根20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×20mm×1.2mm优质方钢管，脚套采用优质无毒无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味的</w:t>
            </w:r>
            <w:r>
              <w:rPr>
                <w:rFonts w:ascii="宋体" w:hAnsi="宋体" w:eastAsia="宋体" w:cs="宋体"/>
                <w:sz w:val="22"/>
                <w:szCs w:val="22"/>
              </w:rPr>
              <w:t>PP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塑料材质，瓷白色。</w:t>
            </w:r>
          </w:p>
          <w:p>
            <w:pPr>
              <w:spacing w:before="46" w:line="234" w:lineRule="auto"/>
              <w:ind w:left="72" w:righ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3、床框材料：床框边框30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×50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×1.5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优质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矩管，床框横撑25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×25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×1.2</w:t>
            </w:r>
            <w:r>
              <w:rPr>
                <w:rFonts w:ascii="宋体" w:hAnsi="宋体" w:eastAsia="宋体" w:cs="宋体"/>
                <w:sz w:val="22"/>
                <w:szCs w:val="22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优质方钢管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五根横撑。</w:t>
            </w:r>
          </w:p>
          <w:p>
            <w:pPr>
              <w:spacing w:before="24" w:line="232" w:lineRule="auto"/>
              <w:ind w:left="72" w:right="143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、护栏：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highlight w:val="none"/>
                <w:lang w:val="en-US" w:eastAsia="zh-Hans"/>
              </w:rPr>
              <w:t>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1500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highlight w:val="none"/>
                <w:lang w:val="en-US" w:eastAsia="zh-Hans"/>
              </w:rPr>
              <w:t>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300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highlight w:val="none"/>
                <w:lang w:val="en-US" w:eastAsia="zh-Hans"/>
              </w:rPr>
              <w:t>采用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20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×20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×1.2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优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  <w:highlight w:val="none"/>
              </w:rPr>
              <w:t>质方钢。</w:t>
            </w:r>
          </w:p>
          <w:p>
            <w:pPr>
              <w:spacing w:before="5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5、床梯：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宽度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350mm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步钢制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CN"/>
              </w:rPr>
              <w:t>防滑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踏板，踏板厚度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1.2mm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长度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Hans"/>
              </w:rPr>
              <w:t>300mm,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钢管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25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*25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*1.2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厚，优质钢管折弯成型。</w:t>
            </w:r>
          </w:p>
          <w:p>
            <w:pPr>
              <w:spacing w:before="16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6、组装：床体连接采用电镀螺栓，止退螺母(或</w:t>
            </w:r>
          </w:p>
          <w:p>
            <w:pPr>
              <w:spacing w:before="78" w:line="200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  <w:highlight w:val="none"/>
              </w:rPr>
              <w:t>插库)。</w:t>
            </w:r>
          </w:p>
          <w:p>
            <w:pPr>
              <w:spacing w:before="2" w:line="241" w:lineRule="auto"/>
              <w:ind w:left="72" w:right="101"/>
              <w:rPr>
                <w:rFonts w:ascii="宋体" w:hAnsi="宋体" w:eastAsia="宋体" w:cs="宋体"/>
                <w:spacing w:val="8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7、床体焊接均采用二氧化碳气体保护焊，焊缝要求光滑平整、无虚焊、假焊、气泡、夹渣等；金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属表面前处理采用磷化技术(脱脂、除锈、表调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  <w:highlight w:val="none"/>
              </w:rPr>
              <w:t>磷化等),表面采用符合国家标准的优质塑粉高压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静电喷塑处理，附着力为国家一级，米白色沙文。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spacing w:before="7" w:line="252" w:lineRule="auto"/>
              <w:ind w:left="72"/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  <w:highlight w:val="none"/>
              </w:rPr>
              <w:t>二、床板：具体规格与床配套，床板为15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:highlight w:val="none"/>
              </w:rPr>
              <w:t>厚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  <w:highlight w:val="none"/>
              </w:rPr>
              <w:t>国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  <w:highlight w:val="none"/>
              </w:rPr>
              <w:t>标实木多层板。</w:t>
            </w:r>
            <w:r>
              <w:rPr>
                <w:rFonts w:hint="default" w:ascii="宋体" w:hAnsi="宋体" w:eastAsia="宋体" w:cs="宋体"/>
                <w:spacing w:val="2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highlight w:val="none"/>
                <w:lang w:val="en-US" w:eastAsia="zh-Hans"/>
              </w:rPr>
              <w:t>提供样块）</w:t>
            </w:r>
          </w:p>
          <w:p>
            <w:pPr>
              <w:spacing w:before="40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三、更衣柜：800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×600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×高1600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</w:p>
          <w:p>
            <w:pPr>
              <w:spacing w:before="4" w:line="216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1、整个柜体采用优质冷轧钢板制作，厚度0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.7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,</w:t>
            </w:r>
          </w:p>
          <w:p>
            <w:pPr>
              <w:spacing w:before="63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  <w:highlight w:val="none"/>
              </w:rPr>
              <w:t>柜门采用橡胶木指接板厚度18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  <w:highlight w:val="none"/>
              </w:rPr>
              <w:t>。</w:t>
            </w:r>
          </w:p>
          <w:p>
            <w:pPr>
              <w:spacing w:before="7" w:line="234" w:lineRule="auto"/>
              <w:ind w:left="72" w:right="11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2、柜门内上一根挂衣杆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none"/>
                <w:lang w:val="en-US" w:eastAsia="zh-Hans"/>
              </w:rPr>
              <w:t>金属一次性冲压成型挂衣杆托架）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，下一块可调隔板，可根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  <w:highlight w:val="none"/>
              </w:rPr>
              <w:t>据物品存放要求随意调整隔板高度。</w:t>
            </w:r>
          </w:p>
          <w:p>
            <w:pPr>
              <w:spacing w:before="37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3、锁具采用挂锁（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无钥匙转舌锁）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highlight w:val="none"/>
                <w:lang w:val="en-US" w:eastAsia="zh-Hans"/>
              </w:rPr>
              <w:t>实木铣型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扣手。</w:t>
            </w:r>
          </w:p>
          <w:p>
            <w:pPr>
              <w:spacing w:before="7" w:line="219" w:lineRule="auto"/>
              <w:ind w:left="7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:highlight w:val="none"/>
              </w:rPr>
              <w:t>四、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highlight w:val="none"/>
              </w:rPr>
              <w:t>一体式储物柜及书架：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highlight w:val="none"/>
                <w:lang w:val="en-US" w:eastAsia="zh-Hans"/>
              </w:rPr>
              <w:t>一体式储物柜含桌面尺寸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highlight w:val="none"/>
              </w:rPr>
              <w:t>1150mm×600mm×高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750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,桌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none"/>
              </w:rPr>
              <w:t>下设置带抽屉储物柜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val="en-US" w:eastAsia="zh-Hans"/>
              </w:rPr>
              <w:t>尺寸</w:t>
            </w:r>
            <w:r>
              <w:rPr>
                <w:rFonts w:hint="default" w:ascii="宋体" w:hAnsi="宋体" w:eastAsia="宋体" w:cs="宋体"/>
                <w:spacing w:val="1"/>
                <w:sz w:val="22"/>
                <w:szCs w:val="22"/>
                <w:highlight w:val="none"/>
                <w:lang w:eastAsia="zh-Hans"/>
              </w:rPr>
              <w:t>350mm*500mm*725mm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val="en-US" w:eastAsia="zh-Hans"/>
              </w:rPr>
              <w:t>高，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整个柜体采用优质冷轧钢板制作，厚度0.7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highlight w:val="none"/>
                <w:lang w:val="en-US" w:eastAsia="zh-Hans"/>
              </w:rPr>
              <w:t>抽屉面及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柜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:highlight w:val="none"/>
              </w:rPr>
              <w:t>门采用橡胶木指接板厚度18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:highlight w:val="none"/>
              </w:rPr>
              <w:t>。</w:t>
            </w:r>
          </w:p>
          <w:p>
            <w:pPr>
              <w:spacing w:before="4" w:line="243" w:lineRule="auto"/>
              <w:ind w:left="72"/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  <w:highlight w:val="none"/>
              </w:rPr>
              <w:t>书架尺寸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1150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×300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×高600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。书桌、书架边角处倒圆处理。桌面板橡胶木指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接板厚度25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宋体" w:hAnsi="宋体" w:eastAsia="宋体" w:cs="宋体"/>
                <w:spacing w:val="14"/>
                <w:sz w:val="22"/>
                <w:szCs w:val="22"/>
                <w:highlight w:val="none"/>
                <w:lang w:val="en-US" w:eastAsia="zh-Hans"/>
              </w:rPr>
              <w:t>书架及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  <w:highlight w:val="none"/>
              </w:rPr>
              <w:t>其余板材橡胶木指接板厚度18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Hans"/>
              </w:rPr>
              <w:t>。</w:t>
            </w:r>
          </w:p>
          <w:p>
            <w:pPr>
              <w:spacing w:before="43" w:line="216" w:lineRule="auto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五、床垫：规格</w:t>
            </w: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  <w:highlight w:val="none"/>
                <w:lang w:val="en-US" w:eastAsia="zh-CN"/>
              </w:rPr>
              <w:t>192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(长)*</w:t>
            </w: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  <w:highlight w:val="none"/>
                <w:lang w:val="en-US" w:eastAsia="zh-CN"/>
              </w:rPr>
              <w:t>875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(宽)±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  <w:highlight w:val="none"/>
              </w:rPr>
              <w:t>,</w:t>
            </w:r>
          </w:p>
          <w:p>
            <w:pPr>
              <w:spacing w:before="20" w:line="235" w:lineRule="auto"/>
              <w:ind w:left="72" w:right="26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50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(厚)±2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highlight w:val="none"/>
              </w:rPr>
              <w:t>,棕榈床垫，面料层：优质透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气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  <w:highlight w:val="none"/>
              </w:rPr>
              <w:t>混纺针织布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面料，耐干摩擦色，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none"/>
                <w:lang w:val="en-US" w:eastAsia="zh-CN"/>
              </w:rPr>
              <w:t>防滑，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阻燃性能符合</w:t>
            </w:r>
          </w:p>
          <w:p>
            <w:pPr>
              <w:spacing w:before="29" w:line="18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GB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  <w:t>17927.1-2011要求，表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面及内部无续燃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、无阴</w:t>
            </w:r>
          </w:p>
        </w:tc>
        <w:tc>
          <w:tcPr>
            <w:tcW w:w="732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hint="eastAsia"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648套</w:t>
            </w: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183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ind w:left="0" w:leftChars="0" w:firstLine="228" w:firstLineChars="104"/>
              <w:rPr>
                <w:rFonts w:hint="eastAsia" w:asci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280160" cy="1706245"/>
                  <wp:effectExtent l="0" t="0" r="0" b="635"/>
                  <wp:docPr id="1" name="图片 1" descr="微信图片_2023070622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706220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0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tbl>
      <w:tblPr>
        <w:tblStyle w:val="6"/>
        <w:tblW w:w="10644" w:type="dxa"/>
        <w:tblInd w:w="-1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032"/>
        <w:gridCol w:w="5544"/>
        <w:gridCol w:w="732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8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5544" w:type="dxa"/>
            <w:vAlign w:val="top"/>
          </w:tcPr>
          <w:p>
            <w:pPr>
              <w:spacing w:before="33" w:line="236" w:lineRule="auto"/>
              <w:ind w:left="10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燃。边料层：氨纶人棉混纺针织布，贴心圆角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固四边，立体围边工艺，正反品质一样，支撑力强。</w:t>
            </w:r>
          </w:p>
          <w:p>
            <w:pPr>
              <w:spacing w:before="49" w:line="219" w:lineRule="auto"/>
              <w:ind w:left="10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六、方凳：340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*240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*高450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</w:p>
          <w:p>
            <w:pPr>
              <w:spacing w:before="25" w:line="219" w:lineRule="auto"/>
              <w:ind w:left="102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  <w:highlight w:val="none"/>
              </w:rPr>
              <w:t>1、凳面采用橡胶木指接板，厚度18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提供凳面样品）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  <w:highlight w:val="none"/>
              </w:rPr>
              <w:t>。</w:t>
            </w:r>
          </w:p>
          <w:p>
            <w:pPr>
              <w:spacing w:before="18" w:line="237" w:lineRule="auto"/>
              <w:ind w:left="102" w:righ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val="en-US" w:eastAsia="zh-Hans"/>
              </w:rPr>
              <w:t>凳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架采用20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×20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×1.2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>优质方钢管焊接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>均采用二氧化碳气体保护焊，焊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缝要求光滑平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无虚焊、假焊、气泡、夹渣等；金属表面前处理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采用磷化技术(脱脂、除锈、表调、磷化等),表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面采用符合国家标准的优质塑粉高压静电喷塑处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理，附着力为国家一级，米白色沙文。</w:t>
            </w:r>
          </w:p>
          <w:p>
            <w:pPr>
              <w:spacing w:before="35" w:line="232" w:lineRule="auto"/>
              <w:ind w:left="102"/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公寓床：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检验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Hans"/>
              </w:rPr>
              <w:t>符合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GB/T3325-2017《金属家具通用技术条件》，GB/T2741-2013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《学生公寓多功能家具》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，GB18580-2017《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Hans"/>
              </w:rPr>
              <w:t>室内装饰装修材料人造板及其制品中甲醛释放限量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》，GB/T35607-2017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《绿色产品评价家具》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，GB18584</w:t>
            </w:r>
            <w:r>
              <w:rPr>
                <w:rFonts w:hint="default" w:ascii="宋体" w:hAnsi="宋体" w:eastAsia="宋体" w:cs="宋体"/>
                <w:spacing w:val="16"/>
                <w:sz w:val="22"/>
                <w:szCs w:val="22"/>
              </w:rPr>
              <w:t>-2001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《 室内装饰装修材料木家具中有害物质限量》检验项目</w:t>
            </w:r>
          </w:p>
          <w:p>
            <w:pPr>
              <w:spacing w:before="35" w:line="232" w:lineRule="auto"/>
              <w:ind w:left="102"/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</w:rPr>
              <w:t>二甲苯,产品寿命,力学性能，可迁移元素，外观安全性能，总挥发性有机化合物(TVOC),甲苯甲醛释放量,苯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Hans"/>
              </w:rPr>
              <w:t>等共</w:t>
            </w:r>
            <w:r>
              <w:rPr>
                <w:rFonts w:hint="default" w:ascii="宋体" w:hAnsi="宋体" w:eastAsia="宋体" w:cs="宋体"/>
                <w:spacing w:val="16"/>
                <w:sz w:val="22"/>
                <w:szCs w:val="22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Hans"/>
              </w:rPr>
              <w:t>项</w:t>
            </w: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114300" distR="114300">
                  <wp:extent cx="1766570" cy="1480820"/>
                  <wp:effectExtent l="0" t="0" r="11430" b="1778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1" w:hRule="atLeast"/>
        </w:trPr>
        <w:tc>
          <w:tcPr>
            <w:tcW w:w="732" w:type="dxa"/>
            <w:vAlign w:val="top"/>
          </w:tcPr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3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32" w:type="dxa"/>
            <w:vAlign w:val="top"/>
          </w:tcPr>
          <w:p>
            <w:pPr>
              <w:spacing w:line="25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41" w:lineRule="auto"/>
              <w:ind w:left="171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上下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铺铁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架床</w:t>
            </w:r>
          </w:p>
        </w:tc>
        <w:tc>
          <w:tcPr>
            <w:tcW w:w="5544" w:type="dxa"/>
            <w:vAlign w:val="top"/>
          </w:tcPr>
          <w:p>
            <w:pPr>
              <w:spacing w:before="18" w:line="222" w:lineRule="auto"/>
              <w:ind w:right="211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18" w:line="222" w:lineRule="auto"/>
              <w:ind w:right="21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上下铺铁床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2000*900*1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0（单位：mm)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1、床架材质：优质冷轧钢板；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2、床架方管立柱壁厚：1.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mm</w:t>
            </w:r>
          </w:p>
          <w:p>
            <w:pPr>
              <w:spacing w:before="18" w:line="222" w:lineRule="auto"/>
              <w:ind w:left="102" w:right="211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3、床架方管立柱口径：4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40mm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床铺横梁 25*50*1.2mm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5、床头横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：25*25*1.2mm，3 根 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6、床铺横撑：20*20*1.2mm，5 根</w:t>
            </w:r>
          </w:p>
          <w:p>
            <w:pPr>
              <w:spacing w:before="18" w:line="222" w:lineRule="auto"/>
              <w:ind w:left="102" w:right="211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7、护栏：20*20*1.2mm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钢管折弯工艺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护栏尺寸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：1500mm×300mm 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8、爬梯：采用直径 19mm 圆管制作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（满焊）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，壁厚 1.2mm，3个钢制防滑踏步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板，踏步板厚度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1.2mm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，踏步板宽度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240mm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，两侧半圆形，前部弧形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。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、床架喷涂颜色：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基础灰白色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。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、床架需含床板（实木多层板）与床垫（棕榈）。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床板：189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0m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m*83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0m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m*1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5m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m,,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床垫：19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m*8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m*5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m。棕榈床垫，面料层：优质透气混纺针织布面料</w:t>
            </w:r>
          </w:p>
          <w:p>
            <w:pPr>
              <w:spacing w:before="18" w:line="222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床板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符合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  <w:t>GB/T3324-2017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《木家具通用技术条件》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  <w:t>,GB/T15102-2017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浸渍胶膜纸饰面纤维板和刨花板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》。</w:t>
            </w:r>
          </w:p>
          <w:p>
            <w:pPr>
              <w:spacing w:before="18" w:line="222" w:lineRule="auto"/>
              <w:ind w:right="211" w:firstLine="220" w:firstLineChars="100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检测项目：内结合强度，吸水厚度膨胀率，外观性能，静曲强度等共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项</w:t>
            </w:r>
          </w:p>
        </w:tc>
        <w:tc>
          <w:tcPr>
            <w:tcW w:w="732" w:type="dxa"/>
            <w:vAlign w:val="top"/>
          </w:tcPr>
          <w:p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198套</w:t>
            </w: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184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04" w:type="dxa"/>
            <w:vAlign w:val="top"/>
          </w:tcPr>
          <w:p>
            <w:pPr>
              <w:spacing w:line="25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220" w:lineRule="auto"/>
              <w:ind w:left="13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237615" cy="696595"/>
                  <wp:effectExtent l="0" t="0" r="12065" b="4445"/>
                  <wp:docPr id="2" name="图片 2" descr="微信图片_2023070622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7062210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</w:trPr>
        <w:tc>
          <w:tcPr>
            <w:tcW w:w="732" w:type="dxa"/>
            <w:vAlign w:val="top"/>
          </w:tcPr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7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3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32" w:type="dxa"/>
            <w:vAlign w:val="top"/>
          </w:tcPr>
          <w:p>
            <w:pPr>
              <w:spacing w:line="28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8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9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221" w:lineRule="auto"/>
              <w:ind w:left="171" w:right="106"/>
              <w:rPr>
                <w:rFonts w:ascii="宋体" w:hAnsi="宋体" w:eastAsia="宋体" w:cs="宋体"/>
                <w:spacing w:val="-5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长条</w:t>
            </w:r>
          </w:p>
          <w:p>
            <w:pPr>
              <w:spacing w:before="74" w:line="221" w:lineRule="auto"/>
              <w:ind w:left="171" w:righ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书桌</w:t>
            </w:r>
          </w:p>
        </w:tc>
        <w:tc>
          <w:tcPr>
            <w:tcW w:w="5544" w:type="dxa"/>
            <w:vAlign w:val="top"/>
          </w:tcPr>
          <w:p>
            <w:pPr>
              <w:spacing w:before="28" w:line="223" w:lineRule="auto"/>
              <w:ind w:right="211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长条桌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1400*400*750（单位：mm)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尺寸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  <w:t>1350*350*725mm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1、材质：优质冷轧钢板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及钢管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2、颜色：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桌面木色，框架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白色。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桌堂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钢板厚度：0.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mm；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桌腿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方管立柱口径：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0mm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*1.2mm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5、桌面厚度：桌面板橡胶木指接板厚度25mm；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6、桌子带书桌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桌堂净高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eastAsia="zh-Hans"/>
              </w:rPr>
              <w:t>150mm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，两端无挡板；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长条书桌:符合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检验依据:GB/T3325-2017《金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属家具通用技术条件》</w:t>
            </w:r>
          </w:p>
          <w:p>
            <w:pPr>
              <w:spacing w:before="28" w:line="223" w:lineRule="auto"/>
              <w:ind w:left="102" w:right="21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检验项目：主要尺寸及偏差，形状和位置公差，外观性能，安全性能（结构安全、甲醛释放量、可溶性重金属含量），力学性能</w:t>
            </w:r>
          </w:p>
        </w:tc>
        <w:tc>
          <w:tcPr>
            <w:tcW w:w="732" w:type="dxa"/>
            <w:vAlign w:val="top"/>
          </w:tcPr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110张</w:t>
            </w:r>
          </w:p>
          <w:p>
            <w:pPr>
              <w:spacing w:before="75" w:line="184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04" w:type="dxa"/>
            <w:vAlign w:val="top"/>
          </w:tcPr>
          <w:p>
            <w:pPr>
              <w:spacing w:line="25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3" w:lineRule="auto"/>
              <w:ind w:left="0" w:leftChars="0" w:firstLine="228" w:firstLineChars="104"/>
              <w:rPr>
                <w:rFonts w:hint="eastAsia" w:asci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253490" cy="939800"/>
                  <wp:effectExtent l="0" t="0" r="11430" b="5080"/>
                  <wp:docPr id="3" name="图片 3" descr="微信图片_2023070622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7062210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5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32" w:type="dxa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231" w:lineRule="auto"/>
              <w:ind w:left="250" w:right="139" w:hanging="1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小凳</w:t>
            </w:r>
            <w:r>
              <w:rPr>
                <w:rFonts w:ascii="宋体" w:hAnsi="宋体" w:eastAsia="宋体" w:cs="宋体"/>
                <w:sz w:val="22"/>
                <w:szCs w:val="22"/>
              </w:rPr>
              <w:t>子</w:t>
            </w:r>
          </w:p>
        </w:tc>
        <w:tc>
          <w:tcPr>
            <w:tcW w:w="5544" w:type="dxa"/>
            <w:vAlign w:val="top"/>
          </w:tcPr>
          <w:p>
            <w:pPr>
              <w:spacing w:before="26" w:line="225" w:lineRule="auto"/>
              <w:ind w:righ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椅子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40*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40*4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0（单位：mm)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凳面材质：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  <w:highlight w:val="none"/>
              </w:rPr>
              <w:t>凳面采用橡胶木指接板，厚度18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提供凳面样品）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2、凳架材质：优质冷轧钢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，白色；</w:t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3、钢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厚度：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mm；</w:t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4、方管立柱口径：20*20mm；</w:t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5、凳板厚度：1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mm；</w:t>
            </w:r>
          </w:p>
          <w:p>
            <w:pPr>
              <w:spacing w:before="26" w:line="225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小方凳符合：检验依据:QB/T4071-2021《课桌椅》</w:t>
            </w:r>
          </w:p>
          <w:p>
            <w:pPr>
              <w:spacing w:before="26" w:line="225" w:lineRule="auto"/>
              <w:ind w:left="91" w:right="23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检验项目：主要尺寸和尺寸偏差，形状位置公差、安装尺寸偏差，外观，安全要求，漆膜涂层其他理化性能，覆面（软、硬质）理化性能，封边条剥离强度，金属喷涂层理化性能，金属件电镀层理化性能，力学性能，甲醛释放量，表面涂层可迁移元素。</w:t>
            </w:r>
          </w:p>
        </w:tc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396个</w:t>
            </w: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3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04" w:type="dxa"/>
            <w:vAlign w:val="top"/>
          </w:tcPr>
          <w:p>
            <w:pPr>
              <w:spacing w:line="29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91" w:lineRule="auto"/>
              <w:ind w:left="216" w:leftChars="103" w:firstLine="0" w:firstLineChars="0"/>
              <w:rPr>
                <w:rFonts w:ascii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1473200</wp:posOffset>
                  </wp:positionV>
                  <wp:extent cx="1228725" cy="922020"/>
                  <wp:effectExtent l="0" t="0" r="9525" b="11430"/>
                  <wp:wrapNone/>
                  <wp:docPr id="4" name="图片 4" descr="微信图片_2023070622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7062211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inline distT="0" distB="0" distL="114300" distR="114300">
                  <wp:extent cx="1044575" cy="876300"/>
                  <wp:effectExtent l="0" t="0" r="6985" b="762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9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9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1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4" w:hRule="atLeast"/>
        </w:trPr>
        <w:tc>
          <w:tcPr>
            <w:tcW w:w="732" w:type="dxa"/>
            <w:vAlign w:val="top"/>
          </w:tcPr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2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32" w:type="dxa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44" w:lineRule="auto"/>
              <w:ind w:left="140" w:right="122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四门更衣柜</w:t>
            </w:r>
          </w:p>
        </w:tc>
        <w:tc>
          <w:tcPr>
            <w:tcW w:w="5544" w:type="dxa"/>
            <w:vAlign w:val="top"/>
          </w:tcPr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四门更衣柜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1850*900*500（单位：mm)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1、材质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：优质冷轧钢板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2、柜体壁厚：0.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mm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3、柜体为上下四个对开独立铁门，门上带标签框和透气孔，每门内上面一根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</w:rPr>
              <w:t>201#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不锈钢挂衣杆挂衣服，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挂衣杆19圆，1.0mm厚，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none"/>
                <w:lang w:val="en-US" w:eastAsia="zh-Hans"/>
              </w:rPr>
              <w:t>金属一次性冲压成型挂衣杆托架），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下面一块隔板放鞋。每门都带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无钥匙转舌锁）和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扣手。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4、喷涂颜色：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基础灰白色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。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四门更衣柜：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检验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符合</w:t>
            </w:r>
          </w:p>
          <w:p>
            <w:pPr>
              <w:spacing w:before="26" w:line="224" w:lineRule="auto"/>
              <w:ind w:left="91" w:right="232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GB/T3325-2017《金属家具通用技术条件》，GB/T35607-2017《绿色产品评价家具》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检验项目</w:t>
            </w:r>
          </w:p>
          <w:p>
            <w:pPr>
              <w:spacing w:before="26" w:line="224" w:lineRule="auto"/>
              <w:ind w:left="91" w:righ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二甲苯,力学性能，外观性能，家具涂层可迁移元素的测定，总挥发性有机化合</w:t>
            </w:r>
          </w:p>
          <w:p>
            <w:pPr>
              <w:spacing w:before="26" w:line="224" w:lineRule="auto"/>
              <w:ind w:left="91" w:right="232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物(TVOC)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甲苯，甲醛释放量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结构安全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苯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金属喷漆(型)涂层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等共</w:t>
            </w:r>
            <w:r>
              <w:rPr>
                <w:rFonts w:hint="default" w:ascii="宋体" w:hAnsi="宋体" w:eastAsia="宋体" w:cs="宋体"/>
                <w:sz w:val="22"/>
                <w:szCs w:val="22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项</w:t>
            </w:r>
          </w:p>
        </w:tc>
        <w:tc>
          <w:tcPr>
            <w:tcW w:w="732" w:type="dxa"/>
            <w:vAlign w:val="top"/>
          </w:tcPr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ascii="Arial"/>
                <w:sz w:val="22"/>
                <w:szCs w:val="22"/>
              </w:rPr>
            </w:pPr>
            <w:r>
              <w:rPr>
                <w:rFonts w:hint="eastAsia" w:ascii="Arial"/>
                <w:sz w:val="22"/>
                <w:szCs w:val="22"/>
              </w:rPr>
              <w:t>113个</w:t>
            </w:r>
          </w:p>
          <w:p>
            <w:pPr>
              <w:spacing w:line="27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184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04" w:type="dxa"/>
            <w:vAlign w:val="top"/>
          </w:tcPr>
          <w:p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19" w:lineRule="auto"/>
              <w:ind w:left="107" w:leftChars="0" w:firstLine="107" w:firstLineChars="4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234440" cy="2194560"/>
                  <wp:effectExtent l="0" t="0" r="0" b="0"/>
                  <wp:docPr id="5" name="图片 5" descr="微信图片_2023070622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7062211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213" w:left="1800" w:header="851" w:footer="45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line="240" w:lineRule="auto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auto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5D3B0F6B"/>
    <w:rsid w:val="00B24B93"/>
    <w:rsid w:val="03C95A0C"/>
    <w:rsid w:val="095C72EC"/>
    <w:rsid w:val="0CE9458E"/>
    <w:rsid w:val="0F3E2ED9"/>
    <w:rsid w:val="10FC0F9B"/>
    <w:rsid w:val="11C74440"/>
    <w:rsid w:val="120B27DD"/>
    <w:rsid w:val="13E857FE"/>
    <w:rsid w:val="177B20A6"/>
    <w:rsid w:val="18144F8B"/>
    <w:rsid w:val="183A374F"/>
    <w:rsid w:val="1AE42D36"/>
    <w:rsid w:val="1DAA5828"/>
    <w:rsid w:val="1F3B73AE"/>
    <w:rsid w:val="248A4FAD"/>
    <w:rsid w:val="260662B4"/>
    <w:rsid w:val="26672D77"/>
    <w:rsid w:val="26F92C35"/>
    <w:rsid w:val="26FE5DC4"/>
    <w:rsid w:val="278D3148"/>
    <w:rsid w:val="2C312A74"/>
    <w:rsid w:val="2F1CE63B"/>
    <w:rsid w:val="32FF8A88"/>
    <w:rsid w:val="377B5A47"/>
    <w:rsid w:val="3E3F2689"/>
    <w:rsid w:val="3FDD19F9"/>
    <w:rsid w:val="3FFA3698"/>
    <w:rsid w:val="46FA593E"/>
    <w:rsid w:val="49AE010D"/>
    <w:rsid w:val="4A6D459D"/>
    <w:rsid w:val="4FD5108C"/>
    <w:rsid w:val="52363773"/>
    <w:rsid w:val="5679E68D"/>
    <w:rsid w:val="5D3B0F6B"/>
    <w:rsid w:val="5DBB6743"/>
    <w:rsid w:val="5F59B94C"/>
    <w:rsid w:val="5F9F7406"/>
    <w:rsid w:val="5FD54095"/>
    <w:rsid w:val="5FEF22AC"/>
    <w:rsid w:val="5FF517B7"/>
    <w:rsid w:val="613A01B8"/>
    <w:rsid w:val="615F5D0D"/>
    <w:rsid w:val="65F52414"/>
    <w:rsid w:val="66FF726D"/>
    <w:rsid w:val="6A090B86"/>
    <w:rsid w:val="6A7D5C9A"/>
    <w:rsid w:val="6FD6DE19"/>
    <w:rsid w:val="70737F2C"/>
    <w:rsid w:val="723DC9F6"/>
    <w:rsid w:val="74C80F9F"/>
    <w:rsid w:val="764F12E9"/>
    <w:rsid w:val="767F5189"/>
    <w:rsid w:val="77647A84"/>
    <w:rsid w:val="797FE6C7"/>
    <w:rsid w:val="7ABEABC5"/>
    <w:rsid w:val="7AE7E4F8"/>
    <w:rsid w:val="7AF91B1D"/>
    <w:rsid w:val="7B6B0767"/>
    <w:rsid w:val="7B7B3B77"/>
    <w:rsid w:val="7BE7523C"/>
    <w:rsid w:val="7BFFBCBE"/>
    <w:rsid w:val="7E6D2518"/>
    <w:rsid w:val="7E6EF81A"/>
    <w:rsid w:val="7E9E2E0E"/>
    <w:rsid w:val="7FEC8762"/>
    <w:rsid w:val="7FF28094"/>
    <w:rsid w:val="7FFEC45E"/>
    <w:rsid w:val="8A8BB156"/>
    <w:rsid w:val="AFD71A22"/>
    <w:rsid w:val="BF7FDC5E"/>
    <w:rsid w:val="CEFF46FE"/>
    <w:rsid w:val="D7D2393F"/>
    <w:rsid w:val="DEE7BC2E"/>
    <w:rsid w:val="EA38BCDF"/>
    <w:rsid w:val="EFB4832B"/>
    <w:rsid w:val="EFFF71AE"/>
    <w:rsid w:val="F6FF3AAF"/>
    <w:rsid w:val="F7FC9656"/>
    <w:rsid w:val="F97DA16F"/>
    <w:rsid w:val="FDD9863F"/>
    <w:rsid w:val="FEDA8ECB"/>
    <w:rsid w:val="FEFB66B4"/>
    <w:rsid w:val="FFA7CD8D"/>
    <w:rsid w:val="FFDFF70E"/>
    <w:rsid w:val="FFE799CE"/>
    <w:rsid w:val="FFFC68D7"/>
    <w:rsid w:val="FF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2052</Words>
  <Characters>2701</Characters>
  <Lines>0</Lines>
  <Paragraphs>0</Paragraphs>
  <TotalTime>9</TotalTime>
  <ScaleCrop>false</ScaleCrop>
  <LinksUpToDate>false</LinksUpToDate>
  <CharactersWithSpaces>2739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2023-07-08T22:04:00Z</dcterms:created>
  <dc:creator>陈瀛</dc:creator>
  <cp:lastModifiedBy>DELL</cp:lastModifiedBy>
  <dcterms:modified xsi:type="dcterms:W3CDTF">2023-07-19T07:48:01Z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B3C357D5D7D6493A8D920269EB791607_13</vt:lpwstr>
  </property>
</Properties>
</file>